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8" w:type="pct"/>
        <w:tblLook w:val="04A0" w:firstRow="1" w:lastRow="0" w:firstColumn="1" w:lastColumn="0" w:noHBand="0" w:noVBand="1"/>
      </w:tblPr>
      <w:tblGrid>
        <w:gridCol w:w="711"/>
        <w:gridCol w:w="2720"/>
        <w:gridCol w:w="1265"/>
        <w:gridCol w:w="1294"/>
        <w:gridCol w:w="1294"/>
        <w:gridCol w:w="1297"/>
        <w:gridCol w:w="1265"/>
        <w:gridCol w:w="1265"/>
        <w:gridCol w:w="1265"/>
        <w:gridCol w:w="1253"/>
        <w:gridCol w:w="1250"/>
      </w:tblGrid>
      <w:tr w:rsidR="008A09EA" w:rsidRPr="0039496B" w:rsidTr="009E4E5D">
        <w:trPr>
          <w:trHeight w:val="327"/>
        </w:trPr>
        <w:tc>
          <w:tcPr>
            <w:tcW w:w="1153" w:type="pct"/>
            <w:gridSpan w:val="2"/>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b/>
                <w:bCs/>
                <w:sz w:val="24"/>
                <w:szCs w:val="24"/>
              </w:rPr>
            </w:pPr>
            <w:bookmarkStart w:id="0" w:name="_GoBack"/>
            <w:bookmarkEnd w:id="0"/>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843" w:type="pct"/>
            <w:gridSpan w:val="2"/>
            <w:tcBorders>
              <w:top w:val="nil"/>
              <w:left w:val="nil"/>
              <w:bottom w:val="nil"/>
              <w:right w:val="nil"/>
            </w:tcBorders>
            <w:shd w:val="clear" w:color="auto" w:fill="auto"/>
            <w:noWrap/>
            <w:vAlign w:val="center"/>
            <w:hideMark/>
          </w:tcPr>
          <w:p w:rsidR="008A09EA" w:rsidRPr="0039496B" w:rsidRDefault="008A09EA" w:rsidP="009E4E5D">
            <w:pPr>
              <w:spacing w:before="120" w:line="276" w:lineRule="auto"/>
              <w:jc w:val="center"/>
              <w:rPr>
                <w:b/>
                <w:bCs/>
                <w:sz w:val="24"/>
                <w:szCs w:val="24"/>
              </w:rPr>
            </w:pPr>
            <w:r w:rsidRPr="0039496B">
              <w:rPr>
                <w:b/>
                <w:bCs/>
                <w:sz w:val="24"/>
                <w:szCs w:val="24"/>
              </w:rPr>
              <w:t>Phụ lục 6</w:t>
            </w:r>
          </w:p>
        </w:tc>
      </w:tr>
      <w:tr w:rsidR="008A09EA" w:rsidRPr="0039496B" w:rsidTr="009E4E5D">
        <w:trPr>
          <w:trHeight w:val="327"/>
        </w:trPr>
        <w:tc>
          <w:tcPr>
            <w:tcW w:w="239"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b/>
                <w:bCs/>
                <w:sz w:val="24"/>
                <w:szCs w:val="24"/>
              </w:rPr>
            </w:pPr>
          </w:p>
        </w:tc>
        <w:tc>
          <w:tcPr>
            <w:tcW w:w="914"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b/>
                <w:bCs/>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1"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b/>
                <w:bCs/>
                <w:sz w:val="24"/>
                <w:szCs w:val="24"/>
              </w:rPr>
            </w:pPr>
          </w:p>
        </w:tc>
        <w:tc>
          <w:tcPr>
            <w:tcW w:w="422"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b/>
                <w:bCs/>
                <w:sz w:val="24"/>
                <w:szCs w:val="24"/>
              </w:rPr>
            </w:pPr>
          </w:p>
        </w:tc>
      </w:tr>
      <w:tr w:rsidR="008A09EA" w:rsidRPr="0039496B" w:rsidTr="00062FE8">
        <w:trPr>
          <w:trHeight w:val="327"/>
        </w:trPr>
        <w:tc>
          <w:tcPr>
            <w:tcW w:w="5000" w:type="pct"/>
            <w:gridSpan w:val="11"/>
            <w:tcBorders>
              <w:top w:val="nil"/>
              <w:left w:val="nil"/>
              <w:bottom w:val="nil"/>
              <w:right w:val="nil"/>
            </w:tcBorders>
            <w:shd w:val="clear" w:color="auto" w:fill="auto"/>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PHƯƠNG ÁN SỬ DỤNG TRỤ SỞ CÔNG TẠI CÁC ĐVHC CẤP XÃ SAU SẮP XẾP</w:t>
            </w:r>
          </w:p>
        </w:tc>
      </w:tr>
      <w:tr w:rsidR="008A09EA" w:rsidRPr="0039496B" w:rsidTr="009E4E5D">
        <w:trPr>
          <w:trHeight w:val="327"/>
        </w:trPr>
        <w:tc>
          <w:tcPr>
            <w:tcW w:w="5000" w:type="pct"/>
            <w:gridSpan w:val="11"/>
            <w:tcBorders>
              <w:top w:val="nil"/>
              <w:left w:val="nil"/>
              <w:bottom w:val="nil"/>
              <w:right w:val="nil"/>
            </w:tcBorders>
            <w:shd w:val="clear" w:color="auto" w:fill="auto"/>
            <w:vAlign w:val="center"/>
          </w:tcPr>
          <w:p w:rsidR="008A09EA" w:rsidRPr="0039496B" w:rsidRDefault="008A09EA" w:rsidP="00062FE8">
            <w:pPr>
              <w:spacing w:before="120" w:line="276" w:lineRule="auto"/>
              <w:jc w:val="center"/>
              <w:rPr>
                <w:i/>
                <w:iCs/>
                <w:sz w:val="24"/>
                <w:szCs w:val="24"/>
              </w:rPr>
            </w:pPr>
          </w:p>
        </w:tc>
      </w:tr>
      <w:tr w:rsidR="008A09EA" w:rsidRPr="0039496B" w:rsidTr="009E4E5D">
        <w:trPr>
          <w:trHeight w:val="327"/>
        </w:trPr>
        <w:tc>
          <w:tcPr>
            <w:tcW w:w="239"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914"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3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1295" w:type="pct"/>
            <w:gridSpan w:val="3"/>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noProof/>
                <w:sz w:val="24"/>
                <w:szCs w:val="24"/>
              </w:rPr>
              <w:drawing>
                <wp:anchor distT="0" distB="0" distL="114300" distR="114300" simplePos="0" relativeHeight="251662336" behindDoc="0" locked="0" layoutInCell="1" allowOverlap="1" wp14:anchorId="564BC761" wp14:editId="342CB306">
                  <wp:simplePos x="0" y="0"/>
                  <wp:positionH relativeFrom="column">
                    <wp:posOffset>190500</wp:posOffset>
                  </wp:positionH>
                  <wp:positionV relativeFrom="paragraph">
                    <wp:posOffset>0</wp:posOffset>
                  </wp:positionV>
                  <wp:extent cx="1581150" cy="9525"/>
                  <wp:effectExtent l="0" t="0" r="0" b="0"/>
                  <wp:wrapNone/>
                  <wp:docPr id="11" name="Straight Connect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9525"/>
                          </a:xfrm>
                          <a:prstGeom prst="rect">
                            <a:avLst/>
                          </a:prstGeom>
                          <a:noFill/>
                        </pic:spPr>
                      </pic:pic>
                    </a:graphicData>
                  </a:graphic>
                  <wp14:sizeRelH relativeFrom="page">
                    <wp14:pctWidth>0</wp14:pctWidth>
                  </wp14:sizeRelH>
                  <wp14:sizeRelV relativeFrom="page">
                    <wp14:pctHeight>0</wp14:pctHeight>
                  </wp14:sizeRelV>
                </wp:anchor>
              </w:drawing>
            </w: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5"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1"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c>
          <w:tcPr>
            <w:tcW w:w="422" w:type="pct"/>
            <w:tcBorders>
              <w:top w:val="nil"/>
              <w:left w:val="nil"/>
              <w:bottom w:val="nil"/>
              <w:right w:val="nil"/>
            </w:tcBorders>
            <w:shd w:val="clear" w:color="auto" w:fill="auto"/>
            <w:noWrap/>
            <w:vAlign w:val="center"/>
            <w:hideMark/>
          </w:tcPr>
          <w:p w:rsidR="008A09EA" w:rsidRPr="0039496B" w:rsidRDefault="008A09EA" w:rsidP="00062FE8">
            <w:pPr>
              <w:spacing w:before="120" w:line="276" w:lineRule="auto"/>
              <w:jc w:val="center"/>
              <w:rPr>
                <w:sz w:val="24"/>
                <w:szCs w:val="24"/>
              </w:rPr>
            </w:pPr>
          </w:p>
        </w:tc>
      </w:tr>
      <w:tr w:rsidR="008A09EA" w:rsidRPr="0039496B" w:rsidTr="009E4E5D">
        <w:trPr>
          <w:trHeight w:val="601"/>
        </w:trPr>
        <w:tc>
          <w:tcPr>
            <w:tcW w:w="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STT</w:t>
            </w:r>
          </w:p>
        </w:tc>
        <w:tc>
          <w:tcPr>
            <w:tcW w:w="9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Tên cấp xã</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Số lượng</w:t>
            </w:r>
          </w:p>
        </w:tc>
        <w:tc>
          <w:tcPr>
            <w:tcW w:w="130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Dự kiến phương án sắp xếp, xử lý</w:t>
            </w:r>
          </w:p>
        </w:tc>
        <w:tc>
          <w:tcPr>
            <w:tcW w:w="2117" w:type="pct"/>
            <w:gridSpan w:val="5"/>
            <w:tcBorders>
              <w:top w:val="single" w:sz="4" w:space="0" w:color="auto"/>
              <w:left w:val="nil"/>
              <w:bottom w:val="single" w:sz="4" w:space="0" w:color="auto"/>
              <w:right w:val="single" w:sz="4" w:space="0" w:color="000000"/>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Lộ trình</w:t>
            </w:r>
          </w:p>
        </w:tc>
      </w:tr>
      <w:tr w:rsidR="008A09EA" w:rsidRPr="0039496B" w:rsidTr="009E4E5D">
        <w:trPr>
          <w:trHeight w:val="1706"/>
        </w:trPr>
        <w:tc>
          <w:tcPr>
            <w:tcW w:w="239" w:type="pct"/>
            <w:vMerge/>
            <w:tcBorders>
              <w:top w:val="single" w:sz="4" w:space="0" w:color="auto"/>
              <w:left w:val="single" w:sz="4" w:space="0" w:color="auto"/>
              <w:bottom w:val="single" w:sz="4" w:space="0" w:color="000000"/>
              <w:right w:val="single" w:sz="4" w:space="0" w:color="auto"/>
            </w:tcBorders>
            <w:vAlign w:val="center"/>
            <w:hideMark/>
          </w:tcPr>
          <w:p w:rsidR="008A09EA" w:rsidRPr="0039496B" w:rsidRDefault="008A09EA" w:rsidP="00062FE8">
            <w:pPr>
              <w:spacing w:before="120" w:line="276" w:lineRule="auto"/>
              <w:rPr>
                <w:b/>
                <w:bCs/>
                <w:sz w:val="24"/>
                <w:szCs w:val="24"/>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8A09EA" w:rsidRPr="0039496B" w:rsidRDefault="008A09EA" w:rsidP="00062FE8">
            <w:pPr>
              <w:spacing w:before="120" w:line="276" w:lineRule="auto"/>
              <w:rPr>
                <w:b/>
                <w:bCs/>
                <w:sz w:val="24"/>
                <w:szCs w:val="24"/>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8A09EA" w:rsidRPr="0039496B" w:rsidRDefault="008A09EA" w:rsidP="00062FE8">
            <w:pPr>
              <w:spacing w:before="120" w:line="276" w:lineRule="auto"/>
              <w:rPr>
                <w:b/>
                <w:bCs/>
                <w:sz w:val="24"/>
                <w:szCs w:val="24"/>
              </w:rPr>
            </w:pPr>
          </w:p>
        </w:tc>
        <w:tc>
          <w:tcPr>
            <w:tcW w:w="435"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062FE8">
            <w:pPr>
              <w:spacing w:before="120" w:line="276" w:lineRule="auto"/>
              <w:jc w:val="center"/>
              <w:rPr>
                <w:sz w:val="24"/>
                <w:szCs w:val="24"/>
              </w:rPr>
            </w:pPr>
            <w:r w:rsidRPr="0039496B">
              <w:rPr>
                <w:sz w:val="24"/>
                <w:szCs w:val="24"/>
              </w:rPr>
              <w:t>UBND xã (mới) tiếp tục sử dụng</w:t>
            </w:r>
          </w:p>
        </w:tc>
        <w:tc>
          <w:tcPr>
            <w:tcW w:w="435"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062FE8">
            <w:pPr>
              <w:spacing w:before="120" w:line="276" w:lineRule="auto"/>
              <w:jc w:val="center"/>
              <w:rPr>
                <w:sz w:val="24"/>
                <w:szCs w:val="24"/>
              </w:rPr>
            </w:pPr>
            <w:r w:rsidRPr="0039496B">
              <w:rPr>
                <w:sz w:val="24"/>
                <w:szCs w:val="24"/>
              </w:rPr>
              <w:t>Không còn tiếp tục sử dụng</w:t>
            </w:r>
          </w:p>
        </w:tc>
        <w:tc>
          <w:tcPr>
            <w:tcW w:w="435"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062FE8">
            <w:pPr>
              <w:spacing w:before="120" w:line="276" w:lineRule="auto"/>
              <w:jc w:val="center"/>
              <w:rPr>
                <w:sz w:val="24"/>
                <w:szCs w:val="24"/>
              </w:rPr>
            </w:pPr>
            <w:r w:rsidRPr="0039496B">
              <w:rPr>
                <w:sz w:val="24"/>
                <w:szCs w:val="24"/>
              </w:rPr>
              <w:t>Phương án khác (chuyển giao Trung tâm PT quỹ đất tỉnh quản lý)</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2025</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2026</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2027</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2028</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2029</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 </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TỈNH SƠN LA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242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201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19</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22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220</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22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b/>
                <w:bCs/>
                <w:sz w:val="24"/>
                <w:szCs w:val="24"/>
              </w:rPr>
            </w:pPr>
            <w:r w:rsidRPr="0039496B">
              <w:rPr>
                <w:b/>
                <w:bCs/>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Tô Hiệu</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0</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Chiềng An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Chiềng Cơi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Chiềng Sinh</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Mộc Châu</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Mộc Sơn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Vân Sơn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lastRenderedPageBreak/>
              <w:t>8</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Phường Thảo Nguyên</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Đoàn Kết</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8</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Lóng Sập</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Sơn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Tân Yên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Vân Hồ</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Song Khủa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Tô Múa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Xuân Nha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Quỳnh Nhai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Chiên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Giôn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Sại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Thuận Châu</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La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Nậm Lầu</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Muổi Nọi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lastRenderedPageBreak/>
              <w:t>25</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Khiêng</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Co Mạ</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Bình Thuận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É</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Long Hẹ</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Bám</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La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8</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8</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Lao</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Bú</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Hoa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Ngọc Chiến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Bắc Yên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Tà Xùa</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Tạ Khoa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Xím Vàng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Pắc Ngà</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Sại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lastRenderedPageBreak/>
              <w:t>42</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Phù Yên</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8</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8</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Gia Phù</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Tường Hạ</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Cơi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Bang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Tân Phong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Kim Bon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Suối Tọ</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Yên Châu</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9</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Hặc</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Lóng Phiêng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Yên Sơn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Phiêng Khoài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Mai</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Mai Sơn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Phiêng Pằn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58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Chiềng Mung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lastRenderedPageBreak/>
              <w:t>59</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 Xã Phiêng Cằm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Mường Chanh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Tà Hộc</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Sung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Bó Sinh</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Khương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Hung</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66</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Xã Chiềng Khoong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67</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Lầm</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68</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 xml:space="preserve"> Xã Nậm Ty</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69</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Sông Mã</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70</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Huổi Một</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71</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Chiềng Sơ</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72</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Sốp Cộp</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4</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73</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Púng Bánh</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2</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3</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74</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Lạn</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r w:rsidR="008A09EA" w:rsidRPr="0039496B" w:rsidTr="009E4E5D">
        <w:trPr>
          <w:trHeight w:val="54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75</w:t>
            </w:r>
          </w:p>
        </w:tc>
        <w:tc>
          <w:tcPr>
            <w:tcW w:w="91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rPr>
                <w:sz w:val="24"/>
                <w:szCs w:val="24"/>
              </w:rPr>
            </w:pPr>
            <w:r w:rsidRPr="0039496B">
              <w:rPr>
                <w:sz w:val="24"/>
                <w:szCs w:val="24"/>
              </w:rPr>
              <w:t>Xã Mường Lèo</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3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1</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c>
          <w:tcPr>
            <w:tcW w:w="422"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062FE8">
            <w:pPr>
              <w:spacing w:before="120" w:line="276" w:lineRule="auto"/>
              <w:jc w:val="center"/>
              <w:rPr>
                <w:sz w:val="24"/>
                <w:szCs w:val="24"/>
              </w:rPr>
            </w:pPr>
            <w:r w:rsidRPr="0039496B">
              <w:rPr>
                <w:sz w:val="24"/>
                <w:szCs w:val="24"/>
              </w:rPr>
              <w:t> </w:t>
            </w:r>
          </w:p>
        </w:tc>
      </w:tr>
    </w:tbl>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jc w:val="both"/>
        <w:rPr>
          <w:spacing w:val="-4"/>
          <w:sz w:val="28"/>
          <w:szCs w:val="28"/>
          <w:lang w:val="es-MX"/>
        </w:rPr>
      </w:pPr>
    </w:p>
    <w:p w:rsidR="0036714D" w:rsidRDefault="0036714D"/>
    <w:sectPr w:rsidR="0036714D" w:rsidSect="00062FE8">
      <w:headerReference w:type="default" r:id="rId9"/>
      <w:headerReference w:type="first" r:id="rId10"/>
      <w:pgSz w:w="16840" w:h="11907" w:orient="landscape" w:code="9"/>
      <w:pgMar w:top="680" w:right="851"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20" w:rsidRDefault="006E1520" w:rsidP="008A09EA">
      <w:r>
        <w:separator/>
      </w:r>
    </w:p>
  </w:endnote>
  <w:endnote w:type="continuationSeparator" w:id="0">
    <w:p w:rsidR="006E1520" w:rsidRDefault="006E1520"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20" w:rsidRDefault="006E1520" w:rsidP="008A09EA">
      <w:r>
        <w:separator/>
      </w:r>
    </w:p>
  </w:footnote>
  <w:footnote w:type="continuationSeparator" w:id="0">
    <w:p w:rsidR="006E1520" w:rsidRDefault="006E1520"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062FE8" w:rsidRDefault="00062FE8">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D6013B">
          <w:rPr>
            <w:noProof/>
            <w:sz w:val="24"/>
            <w:szCs w:val="24"/>
          </w:rPr>
          <w:t>6</w:t>
        </w:r>
        <w:r w:rsidRPr="008A09EA">
          <w:rPr>
            <w:noProof/>
            <w:sz w:val="24"/>
            <w:szCs w:val="24"/>
          </w:rPr>
          <w:fldChar w:fldCharType="end"/>
        </w:r>
      </w:p>
    </w:sdtContent>
  </w:sdt>
  <w:p w:rsidR="00062FE8" w:rsidRDefault="00062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062FE8" w:rsidRDefault="00062FE8">
        <w:pPr>
          <w:pStyle w:val="Header"/>
          <w:jc w:val="center"/>
        </w:pPr>
      </w:p>
    </w:sdtContent>
  </w:sdt>
  <w:p w:rsidR="00062FE8" w:rsidRDefault="00062F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062FE8"/>
    <w:rsid w:val="00104EAB"/>
    <w:rsid w:val="001D7689"/>
    <w:rsid w:val="0036714D"/>
    <w:rsid w:val="00431993"/>
    <w:rsid w:val="005F452C"/>
    <w:rsid w:val="00663439"/>
    <w:rsid w:val="006D2C3B"/>
    <w:rsid w:val="006E1520"/>
    <w:rsid w:val="008A09EA"/>
    <w:rsid w:val="008F60EC"/>
    <w:rsid w:val="009E4E5D"/>
    <w:rsid w:val="00A62C7F"/>
    <w:rsid w:val="00AA2B1A"/>
    <w:rsid w:val="00AB445E"/>
    <w:rsid w:val="00CF333D"/>
    <w:rsid w:val="00D24365"/>
    <w:rsid w:val="00D6013B"/>
    <w:rsid w:val="00F31A86"/>
    <w:rsid w:val="00F9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D5DD-9A82-4BEF-ADA7-5BF67A9F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2025-05-10T02:04:00Z</cp:lastPrinted>
  <dcterms:created xsi:type="dcterms:W3CDTF">2025-05-01T04:29:00Z</dcterms:created>
  <dcterms:modified xsi:type="dcterms:W3CDTF">2025-05-10T02:24:00Z</dcterms:modified>
</cp:coreProperties>
</file>