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7" w:type="pct"/>
        <w:tblInd w:w="-176" w:type="dxa"/>
        <w:tblLayout w:type="fixed"/>
        <w:tblLook w:val="04A0" w:firstRow="1" w:lastRow="0" w:firstColumn="1" w:lastColumn="0" w:noHBand="0" w:noVBand="1"/>
      </w:tblPr>
      <w:tblGrid>
        <w:gridCol w:w="581"/>
        <w:gridCol w:w="724"/>
        <w:gridCol w:w="1859"/>
        <w:gridCol w:w="411"/>
        <w:gridCol w:w="3405"/>
        <w:gridCol w:w="272"/>
        <w:gridCol w:w="436"/>
        <w:gridCol w:w="1120"/>
        <w:gridCol w:w="158"/>
        <w:gridCol w:w="993"/>
        <w:gridCol w:w="1370"/>
        <w:gridCol w:w="210"/>
        <w:gridCol w:w="779"/>
        <w:gridCol w:w="303"/>
        <w:gridCol w:w="739"/>
        <w:gridCol w:w="980"/>
        <w:gridCol w:w="1123"/>
      </w:tblGrid>
      <w:tr w:rsidR="008A09EA" w:rsidRPr="0039496B" w:rsidTr="00911AAD">
        <w:trPr>
          <w:trHeight w:val="315"/>
        </w:trPr>
        <w:tc>
          <w:tcPr>
            <w:tcW w:w="188"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968" w:type="pct"/>
            <w:gridSpan w:val="3"/>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101"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rPr>
                <w:b/>
                <w:bCs/>
                <w:sz w:val="24"/>
                <w:szCs w:val="24"/>
              </w:rPr>
            </w:pPr>
          </w:p>
        </w:tc>
        <w:tc>
          <w:tcPr>
            <w:tcW w:w="88" w:type="pct"/>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jc w:val="center"/>
              <w:rPr>
                <w:sz w:val="24"/>
                <w:szCs w:val="24"/>
              </w:rPr>
            </w:pPr>
          </w:p>
        </w:tc>
        <w:tc>
          <w:tcPr>
            <w:tcW w:w="503" w:type="pct"/>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sz w:val="24"/>
                <w:szCs w:val="24"/>
              </w:rPr>
            </w:pPr>
          </w:p>
        </w:tc>
        <w:tc>
          <w:tcPr>
            <w:tcW w:w="372" w:type="pct"/>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sz w:val="24"/>
                <w:szCs w:val="24"/>
              </w:rPr>
            </w:pPr>
          </w:p>
        </w:tc>
        <w:tc>
          <w:tcPr>
            <w:tcW w:w="511" w:type="pct"/>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sz w:val="24"/>
                <w:szCs w:val="24"/>
              </w:rPr>
            </w:pPr>
          </w:p>
        </w:tc>
        <w:tc>
          <w:tcPr>
            <w:tcW w:w="350" w:type="pct"/>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sz w:val="24"/>
                <w:szCs w:val="24"/>
              </w:rPr>
            </w:pPr>
          </w:p>
        </w:tc>
        <w:tc>
          <w:tcPr>
            <w:tcW w:w="239" w:type="pct"/>
            <w:tcBorders>
              <w:top w:val="nil"/>
              <w:left w:val="nil"/>
              <w:bottom w:val="nil"/>
              <w:right w:val="nil"/>
            </w:tcBorders>
            <w:shd w:val="clear" w:color="auto" w:fill="auto"/>
            <w:vAlign w:val="center"/>
            <w:hideMark/>
          </w:tcPr>
          <w:p w:rsidR="008A09EA" w:rsidRPr="0039496B" w:rsidRDefault="008A09EA" w:rsidP="003D730E">
            <w:pPr>
              <w:spacing w:before="120" w:line="276" w:lineRule="auto"/>
              <w:jc w:val="center"/>
              <w:rPr>
                <w:sz w:val="24"/>
                <w:szCs w:val="24"/>
              </w:rPr>
            </w:pPr>
          </w:p>
        </w:tc>
        <w:tc>
          <w:tcPr>
            <w:tcW w:w="681" w:type="pct"/>
            <w:gridSpan w:val="2"/>
            <w:tcBorders>
              <w:top w:val="nil"/>
              <w:left w:val="nil"/>
              <w:bottom w:val="nil"/>
              <w:right w:val="nil"/>
            </w:tcBorders>
            <w:shd w:val="clear" w:color="auto" w:fill="auto"/>
            <w:vAlign w:val="center"/>
            <w:hideMark/>
          </w:tcPr>
          <w:p w:rsidR="008A09EA" w:rsidRPr="0039496B" w:rsidRDefault="008A09EA" w:rsidP="00431993">
            <w:pPr>
              <w:spacing w:before="120" w:line="276" w:lineRule="auto"/>
              <w:jc w:val="center"/>
              <w:rPr>
                <w:b/>
                <w:bCs/>
                <w:sz w:val="24"/>
                <w:szCs w:val="24"/>
              </w:rPr>
            </w:pPr>
            <w:r w:rsidRPr="0039496B">
              <w:rPr>
                <w:b/>
                <w:bCs/>
                <w:sz w:val="24"/>
                <w:szCs w:val="24"/>
              </w:rPr>
              <w:t>Phụ lục 3</w:t>
            </w:r>
          </w:p>
        </w:tc>
      </w:tr>
      <w:tr w:rsidR="008A09EA" w:rsidRPr="0039496B" w:rsidTr="003D730E">
        <w:trPr>
          <w:trHeight w:val="1335"/>
        </w:trPr>
        <w:tc>
          <w:tcPr>
            <w:tcW w:w="188" w:type="pct"/>
            <w:tcBorders>
              <w:top w:val="nil"/>
              <w:left w:val="nil"/>
              <w:bottom w:val="single" w:sz="4" w:space="0" w:color="auto"/>
              <w:right w:val="nil"/>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4812" w:type="pct"/>
            <w:gridSpan w:val="16"/>
            <w:tcBorders>
              <w:top w:val="nil"/>
              <w:left w:val="nil"/>
              <w:bottom w:val="single" w:sz="4" w:space="0" w:color="auto"/>
              <w:right w:val="nil"/>
            </w:tcBorders>
            <w:shd w:val="clear" w:color="auto" w:fill="auto"/>
            <w:noWrap/>
            <w:vAlign w:val="bottom"/>
            <w:hideMark/>
          </w:tcPr>
          <w:tbl>
            <w:tblPr>
              <w:tblW w:w="14572" w:type="dxa"/>
              <w:tblCellSpacing w:w="0" w:type="dxa"/>
              <w:tblLayout w:type="fixed"/>
              <w:tblCellMar>
                <w:left w:w="0" w:type="dxa"/>
                <w:right w:w="0" w:type="dxa"/>
              </w:tblCellMar>
              <w:tblLook w:val="04A0" w:firstRow="1" w:lastRow="0" w:firstColumn="1" w:lastColumn="0" w:noHBand="0" w:noVBand="1"/>
            </w:tblPr>
            <w:tblGrid>
              <w:gridCol w:w="14572"/>
            </w:tblGrid>
            <w:tr w:rsidR="008A09EA" w:rsidRPr="0039496B" w:rsidTr="00431993">
              <w:trPr>
                <w:trHeight w:val="1335"/>
                <w:tblCellSpacing w:w="0" w:type="dxa"/>
              </w:trPr>
              <w:tc>
                <w:tcPr>
                  <w:tcW w:w="14572" w:type="dxa"/>
                  <w:tcBorders>
                    <w:top w:val="nil"/>
                    <w:left w:val="nil"/>
                    <w:bottom w:val="single" w:sz="4" w:space="0" w:color="000000"/>
                    <w:right w:val="nil"/>
                  </w:tcBorders>
                  <w:shd w:val="clear" w:color="auto" w:fill="auto"/>
                  <w:hideMark/>
                </w:tcPr>
                <w:p w:rsidR="008A09EA" w:rsidRPr="0039496B" w:rsidRDefault="008A09EA" w:rsidP="00431993">
                  <w:pPr>
                    <w:spacing w:before="120" w:line="276" w:lineRule="auto"/>
                    <w:jc w:val="center"/>
                    <w:rPr>
                      <w:b/>
                      <w:bCs/>
                      <w:sz w:val="24"/>
                      <w:szCs w:val="24"/>
                    </w:rPr>
                  </w:pPr>
                  <w:r w:rsidRPr="0039496B">
                    <w:rPr>
                      <w:noProof/>
                    </w:rPr>
                    <w:drawing>
                      <wp:anchor distT="0" distB="0" distL="114300" distR="114300" simplePos="0" relativeHeight="251659264" behindDoc="0" locked="0" layoutInCell="1" allowOverlap="1" wp14:anchorId="366B9BF3" wp14:editId="594A89D3">
                        <wp:simplePos x="0" y="0"/>
                        <wp:positionH relativeFrom="column">
                          <wp:posOffset>3743960</wp:posOffset>
                        </wp:positionH>
                        <wp:positionV relativeFrom="paragraph">
                          <wp:posOffset>558800</wp:posOffset>
                        </wp:positionV>
                        <wp:extent cx="1409700" cy="9525"/>
                        <wp:effectExtent l="0" t="0" r="0" b="0"/>
                        <wp:wrapNone/>
                        <wp:docPr id="8" name="Straight Connect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525"/>
                                </a:xfrm>
                                <a:prstGeom prst="rect">
                                  <a:avLst/>
                                </a:prstGeom>
                                <a:noFill/>
                              </pic:spPr>
                            </pic:pic>
                          </a:graphicData>
                        </a:graphic>
                        <wp14:sizeRelH relativeFrom="page">
                          <wp14:pctWidth>0</wp14:pctWidth>
                        </wp14:sizeRelH>
                        <wp14:sizeRelV relativeFrom="page">
                          <wp14:pctHeight>0</wp14:pctHeight>
                        </wp14:sizeRelV>
                      </wp:anchor>
                    </w:drawing>
                  </w:r>
                  <w:r w:rsidRPr="0039496B">
                    <w:rPr>
                      <w:b/>
                      <w:bCs/>
                      <w:sz w:val="24"/>
                      <w:szCs w:val="24"/>
                    </w:rPr>
                    <w:t>THỐNG KÊ PHƯƠNG ÁN SẮP XẾP ĐVHC CẤP XÃ NĂM 2025</w:t>
                  </w:r>
                  <w:r w:rsidRPr="0039496B">
                    <w:rPr>
                      <w:b/>
                      <w:bCs/>
                      <w:sz w:val="24"/>
                      <w:szCs w:val="24"/>
                    </w:rPr>
                    <w:br/>
                  </w:r>
                </w:p>
              </w:tc>
            </w:tr>
          </w:tbl>
          <w:p w:rsidR="008A09EA" w:rsidRPr="0039496B" w:rsidRDefault="008A09EA" w:rsidP="003D730E">
            <w:pPr>
              <w:spacing w:before="120" w:line="276" w:lineRule="auto"/>
            </w:pPr>
          </w:p>
        </w:tc>
      </w:tr>
      <w:tr w:rsidR="00911AAD" w:rsidRPr="0039496B" w:rsidTr="00911AAD">
        <w:trPr>
          <w:trHeight w:val="725"/>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STT</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Tên ĐVHC cấp xã mới</w:t>
            </w:r>
          </w:p>
        </w:tc>
        <w:tc>
          <w:tcPr>
            <w:tcW w:w="12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Phương án</w:t>
            </w:r>
          </w:p>
        </w:tc>
        <w:tc>
          <w:tcPr>
            <w:tcW w:w="2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xml:space="preserve">Số ĐVHC cấp xã giảm </w:t>
            </w:r>
          </w:p>
        </w:tc>
        <w:tc>
          <w:tcPr>
            <w:tcW w:w="7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tự nhiên</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w:t>
            </w:r>
          </w:p>
        </w:tc>
        <w:tc>
          <w:tcPr>
            <w:tcW w:w="3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miền núi, vùng cao</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hải đảo</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Yếu tố đặc thù (nếu có)</w:t>
            </w:r>
          </w:p>
        </w:tc>
      </w:tr>
      <w:tr w:rsidR="00911AAD" w:rsidRPr="0039496B" w:rsidTr="00911AAD">
        <w:trPr>
          <w:trHeight w:val="1215"/>
        </w:trPr>
        <w:tc>
          <w:tcPr>
            <w:tcW w:w="422" w:type="pct"/>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1234" w:type="pct"/>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413"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(km</w:t>
            </w:r>
            <w:r w:rsidRPr="0039496B">
              <w:rPr>
                <w:b/>
                <w:bCs/>
                <w:sz w:val="24"/>
                <w:szCs w:val="24"/>
                <w:vertAlign w:val="superscript"/>
              </w:rPr>
              <w:t>2</w:t>
            </w:r>
            <w:r w:rsidRPr="0039496B">
              <w:rPr>
                <w:b/>
                <w:bCs/>
                <w:sz w:val="24"/>
                <w:szCs w:val="24"/>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 (người)</w:t>
            </w:r>
          </w:p>
        </w:tc>
        <w:tc>
          <w:tcPr>
            <w:tcW w:w="320"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337" w:type="pct"/>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r>
      <w:tr w:rsidR="00911AAD" w:rsidRPr="0039496B" w:rsidTr="00911AAD">
        <w:trPr>
          <w:trHeight w:val="63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 </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i/>
                <w:iCs/>
                <w:sz w:val="24"/>
                <w:szCs w:val="24"/>
              </w:rPr>
            </w:pPr>
            <w:r w:rsidRPr="0039496B">
              <w:rPr>
                <w:b/>
                <w:bCs/>
                <w:i/>
                <w:iCs/>
                <w:sz w:val="24"/>
                <w:szCs w:val="24"/>
              </w:rPr>
              <w:t>1</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2</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7</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8</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9</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10</w:t>
            </w:r>
          </w:p>
        </w:tc>
      </w:tr>
      <w:tr w:rsidR="00911AAD" w:rsidRPr="0039496B" w:rsidTr="00911AAD">
        <w:trPr>
          <w:trHeight w:val="66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w:t>
            </w:r>
          </w:p>
        </w:tc>
        <w:tc>
          <w:tcPr>
            <w:tcW w:w="601" w:type="pct"/>
            <w:tcBorders>
              <w:top w:val="nil"/>
              <w:left w:val="nil"/>
              <w:bottom w:val="single" w:sz="4" w:space="0" w:color="auto"/>
              <w:right w:val="single" w:sz="4" w:space="0" w:color="auto"/>
            </w:tcBorders>
            <w:shd w:val="clear" w:color="auto" w:fill="auto"/>
            <w:noWrap/>
            <w:vAlign w:val="bottom"/>
            <w:hideMark/>
          </w:tcPr>
          <w:p w:rsidR="008A09EA" w:rsidRPr="0039496B" w:rsidRDefault="008A09EA" w:rsidP="003D730E">
            <w:pPr>
              <w:spacing w:before="120" w:line="276" w:lineRule="auto"/>
              <w:rPr>
                <w:b/>
                <w:bCs/>
                <w:sz w:val="24"/>
                <w:szCs w:val="24"/>
              </w:rPr>
            </w:pPr>
            <w:r w:rsidRPr="0039496B">
              <w:rPr>
                <w:b/>
                <w:bCs/>
                <w:sz w:val="24"/>
                <w:szCs w:val="24"/>
              </w:rPr>
              <w:t> </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Thành phố Sơn La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322,96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121.408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7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phường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322,96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121.408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47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Tô Hiệu</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Quyết Thắng, phường Tô Hiệu, phường Chiềng Lề và phường Quyết Tâm thành phường Tô Hiệu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11,92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216,73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51.293</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341,95</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Chiềng An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Chiềng An, xã Chiềng Xôm và xã Chiềng Đen thành phường Chiềng An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149,08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2.710,55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20.322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135,48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Chiềng Cơi</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Chiềng Cơi, xã Hua La và xã Chiềng Cọ thành phường Chiềng Cơi</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93,56</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1.701,09</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22.694</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151,29</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4</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Chiềng Sinh</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Chiềng Sinh và xã Chiềng Ngần thành phường Chiềng Sinh</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68,40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1.243,64</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27.099</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180,66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9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w:t>
            </w:r>
          </w:p>
        </w:tc>
        <w:tc>
          <w:tcPr>
            <w:tcW w:w="601" w:type="pct"/>
            <w:tcBorders>
              <w:top w:val="nil"/>
              <w:left w:val="nil"/>
              <w:bottom w:val="single" w:sz="4" w:space="0" w:color="auto"/>
              <w:right w:val="single" w:sz="4" w:space="0" w:color="auto"/>
            </w:tcBorders>
            <w:shd w:val="clear" w:color="auto" w:fill="auto"/>
            <w:noWrap/>
            <w:vAlign w:val="bottom"/>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Thị xã Mộc Châu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1.147,85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134.610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67"/>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phường</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5</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298,20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74.508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Mộc Châu</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Hắc, phường Mộc Lỵ và phường Mường Sang thành phường Mộc Châu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167,62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3.047,64</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21.087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140,58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Mộc Sơn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Mộc Sơn và phường Đông Sang thành phường Mộc Sơn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37,88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688,73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15.025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100,17</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Vân Sơn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Bình Minh và phường Vân Sơn thành phường Vân Sơn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39,61</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720,18</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15.917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106,11</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Phường Thảo Nguyên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phường Cờ Đỏ và phường Thảo Nguyên thành phường Thảo Nguyên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53,09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965,27</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22.479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149,86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1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849,65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60.102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Đoàn Kết</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Đoàn Kết và xã Chiềng Chung thành xã Đoàn Kết</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240,66</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240,66</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17.938</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358,76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Lóng Sập</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Lóng Sập và xã Chiềng Khừa thành xã Lóng Sập</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211,30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211,30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9.629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192,58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bookmarkStart w:id="0" w:name="_GoBack"/>
            <w:r w:rsidRPr="0039496B">
              <w:rPr>
                <w:sz w:val="24"/>
                <w:szCs w:val="24"/>
              </w:rPr>
              <w:lastRenderedPageBreak/>
              <w:t>11</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Sơn</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Sơn và xã Chiềng Xuân (huyện Vân Hồ) thành xã Chiềng Sơn</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204,90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204,90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14.155</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283,10</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bookmarkEnd w:id="0"/>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Tân Yên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đã đạt tiêu chí về diện tích tự nhiên và quy mô dân số</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192,79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192,79</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18.380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367,60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57"/>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III</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Vân Hồ</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906,20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65.671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5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906,20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65.671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Vân Hồ</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Vân Hồ, xã Lóng Luông, xã Chiềng Yên và xã Mường Men thành xã Vân Hồ</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268,40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268,40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24.998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499,96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Song Khủa</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Tè, xã Song Khủa, xã Liên Hòa và xã Quang Minh thành xã Song Khủa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192,45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192,45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15.845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316,90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Tô Múa</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Khoa, xã Suối Bàng, xã Tô Múa thành xã Tô Múa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181,98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181,98</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14.701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294,02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Xuân Nha</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Xuân Nha và Tân Xuân thành xã Xuân Nha</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263,37</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263,37</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10.127</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202,54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6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IV</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Quỳnh Nhai</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1.039,99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70.284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1.039,99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70.284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17</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Quỳnh Nhai</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Mường Giàng, xã Chiềng Bằng, xã Chiềng Khoang và xã Chiềng Ơn thành xã Quỳnh Nhai</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244,31</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244,31</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30.554</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611,08</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Chiên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Khay, xã Cà Nàng và xã Mường Chiên thành xã Mường Chiên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382,20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382,20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14.028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280,56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Giôn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Giôn và xã Pá Ma Pha Khinh thành xã Mường Giôn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290,54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290,54</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16.145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322,90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Sại</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Nặm Ét và xã Mường Sại thành xã Mường Sại</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122,94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122,94</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9.557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191,14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1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w:t>
            </w:r>
          </w:p>
        </w:tc>
        <w:tc>
          <w:tcPr>
            <w:tcW w:w="601" w:type="pct"/>
            <w:tcBorders>
              <w:top w:val="nil"/>
              <w:left w:val="nil"/>
              <w:bottom w:val="single" w:sz="4" w:space="0" w:color="auto"/>
              <w:right w:val="single" w:sz="4" w:space="0" w:color="auto"/>
            </w:tcBorders>
            <w:shd w:val="clear" w:color="auto" w:fill="auto"/>
            <w:noWrap/>
            <w:vAlign w:val="bottom"/>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Thuận Châu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18</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1.550,02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191.379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18</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1.550,02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191.379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Thuận Châu</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Thuận Châu,  xã Phổng Ly, xã Thôm Mòn, xã Tông Lạnh và xã Chiềng Pấc thành xã Thuận Châu</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132,83</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132,83</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46.958</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939,16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La</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La, xã Chiềng Ngàm, xã Nong Lay và xã Tông Cọ thành xã Chiềng La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126,13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126,13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20.373</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407,46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Nậm Lầu</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Bôm, xã Púng Tra và xã Nậm Lầu thành xã Nậm Lầu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247,63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247,63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18.095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361,90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24</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Muổi Nọi</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Muổi Nọi, xã Bản Lầm và xã Bon Phặng thành xã Muổi Nọi</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128,70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128,70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15.633</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312,66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Khiêng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Liệp Tè, xã Bó Mười và xã Mường Khiêng thành xã Mường Khiêng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204,20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204,20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24.570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491,40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Co Mạ</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Co Mạ, xã Co Tòng và xã Pá Lông thành xã Co Mạ</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214,28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214,28</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14.560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291,20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Bình Thuận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Phổng Lái và xã Chiềng Pha thành xã Bình Thuận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121,78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121,78</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17.128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342,56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É</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É và xã Phổng Lập thành xã Mường É</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139,91</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139,91</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14.858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297,16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Long Hẹ</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Long Hẹ và xã É Tòng thành xã Long Hẹ</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158,40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158,40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8.473</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169,46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Bám</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có vị trí biệt lập khó kết nối với các đơn vị hành chính liền kề</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76,16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76,16</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10.731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214,62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2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Mường La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1.422,73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108.671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1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1.422,73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108.671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35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31</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La</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ít Ong, xã Nặm Păm, xã Chiềng San, xã Chiềng Muôn, xã Mường Trai và xã Pi Toong thành xã Mường La</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341,86</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341,86</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32.712</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654,24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Lao</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 xml:space="preserve">Nhập xã Nậm Giôn, xã Chiềng Lao và xã Hua Trai thành xã Chiềng Lao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358,55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358,55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21.010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420,20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Bú</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Chùm, xã Tạ Bú và xã Mường Bú thành xã Mường Bú</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213,65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213,65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25.284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505,68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Hoa</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Ân, xã Chiềng Công và xã Chiềng Hoa thành xã Chiềng Hoa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296,48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296,48</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17.644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352,88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Ngọc Chiến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đã đạt tiêu chí về diện tích tự nhiên và quy mô dân số</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212,19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212,19</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12.021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240,42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37"/>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VII</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Bắc Yên</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1.100,27</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76.136</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0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1.100,27</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76.136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36</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Bắc Yên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Bắc Yên, xã Phiêng Ban, xã Hồng Ngài và xã Song Pe thành xã Bắc Yên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195,23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195,23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21.825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436,50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Tà Xùa</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Làng Chếu, xã Háng Đồng và xã Tà Xùa thành xã Tà Xùa</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233,67</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233,67</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11.199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223,98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38</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Tạ Khoa</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Khoa, xã Hua Nhàn và xã Tạ Khoa thành xã Tạ Khoa</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191,88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191,88</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15.522</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310,44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39</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Xím Vàng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Hang Chú và xã Xím Vàng thành xã Xím Vàng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232,35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232,35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7.596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151,92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i/>
                <w:iCs/>
                <w:sz w:val="24"/>
                <w:szCs w:val="24"/>
              </w:rPr>
            </w:pPr>
            <w:r w:rsidRPr="0039496B">
              <w:rPr>
                <w:i/>
                <w:iCs/>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Pắc Ngà</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Pắc Ngà và xã Chim Vàn thành xã Pắc Ngà</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122,59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122,59</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13.274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265,48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41</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Sại</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Phiêng Côn và xã Chiềng Sại thành xã Chiềng Sại</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124,55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124,55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6.720</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134,40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8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VIII</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Phù Yên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17</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1.232,73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138.695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6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17</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1.232,73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138.695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42</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Phù Yên</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Quang Huy, xã Huy Hạ, xã Huy Tường, xã Huy Tân và xã Huy Thượng thành xã Phù Yên</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117,98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117,98</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47.299</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945,98</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Gia Phù</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Gia Phù, xã Tường Phù, xã Suối Bau và xã Sập Xa thành xã Gia Phù</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111,32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111,32</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21.929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438,58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44</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Tường Hạ</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Tường Thượng, xã Tường Hạ,  xã Tường Tiến và xã Tường Phong thành xã Tường Hạ</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120,85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120,85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14.076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281,52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45</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Cơi</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Cơi, xã Mường Thải và xã Tân Lang thành xã Mường Cơi</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194,98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194,98</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19.557</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391,14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46</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Bang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Do, xã Mường Lang và xã Mường Bang thành xã Mường Bang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270,15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270,15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12.831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256,62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Tân Phong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Bắc Phong, xã Tân Phong vầ xã Nam Phong thành xã Tân Phong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135,45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135,45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6.787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135,74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Kim Bon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Kim Bon và xã Đá Đỏ thành xã Kim Bon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104,51</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104,51</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9.873</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197,46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49</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Suối Tọ</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đã đạt tiêu chí về diện tích tự nhiên và quy mô dân số</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177,49</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177,49</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6.343</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126,86</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47"/>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IX</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Yên Châu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854,66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87.972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9</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854,66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87.972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3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Yên Châu</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Yên Châu, xã Chiềng Đông, xã Chiềng Sàng, xã Chiềng Pằn, xã  Chiềng Khoi và xã Sặp Vạt thành xã Yên Châu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246,55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246,55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33.061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661,22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51</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Hặc</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Hặc, xã Tú Nang và xã Mường Lựm thành xã Chiềng Hặc</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239,91</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239,91</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18.721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374,42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52</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Lóng Phiêng</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Lóng Phiêng và xã Chiềng Tương thành xã Lóng Phiêng</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147,81</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147,81</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11.152</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223,04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Yên Sơn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Yên Sơn và xã Chiềng On thành xã Yên Sơn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116,62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116,62</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12.614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252,28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54</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Phiêng Khoài</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đã đạt tiêu chí về diện tích tự nhiên và quy mô dân số</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103,77</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103,77</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12.424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248,48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55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Mai Sơn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1.419,68</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182.226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5"/>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1.419,68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182.226</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55</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Mai</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 xml:space="preserve">Nhập xã Chiềng Ban, xã Chiềng Mai, xã Chiềng Dong, xã Chiềng Ve và xã Chiềng Kheo thành xã Chiềng Mai </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151,85</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151,85</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23.786</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475,72</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56</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Mai Sơn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Hát Lót, xã Hát Lót và xã Cò Nòi thành xã Mai Sơn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164,40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164,40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52.361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1.047,22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Phiêng Pằn</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Nà Ớt, xã Phiêng Pằn và xã Chiềng Lương thành xã Phiêng Pằn</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320,65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320,65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24.685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493,70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Mung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Mung, xã Mường Bằng và xã Mường Bon thành xã Chiềng Mung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142,14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142,14</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27.797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555,94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59</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Phiêng Cằm</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Nơi và xã Phiêng Cằm thành xã Phiêng Cằm</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280,33</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280,33</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14.459</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289,18</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60</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Chanh</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Chanh và xã Chiềng Chung thành xã Mường Chanh</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101,47</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101,47</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11.275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225,50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61</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Tà Hộc</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Nà Bó và xã Tà Hộc thành xã Tà Hộc</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149,56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149,56</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13.692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273,84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62</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Sung</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Sung và xã Chiềng Chăn thành xã Chiềng Sung</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109,28</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109,28</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14.171</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283,42</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89"/>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XI</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Sông Mã</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1.639,56</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171.007</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71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1.639,56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171.007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Bó Sinh</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Bó Sinh, xã Pú Bẩu và xã Chiềng En thành xã Bó Sinh</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153,83</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153,83</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16.461</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329,22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64</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Khương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Khương và xã Mường Sai thành xã Chiềng Khương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149,82</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149,82</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18.712</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374,24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Hung</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Cang và xã Mường Hung thành xã Mường Hung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226,09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226,09</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24.613</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492,26</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66</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Khoong</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Chiềng Khoong và xã Mường Cai thành xã Chiềng Khoong</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253,87</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253,87</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23.222</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464,44</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67</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Lầm</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Mường Lầm và xã Đứa Mòn thành xã Mường Lầm</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167,10</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167,10</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15.647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312,94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68</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601"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Nậm Ty</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Nậm Ty và xã Chiềng Phung thành xã Nậm Ty</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201,89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201,89</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16.679</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333,58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8"/>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69</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Sông Mã</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thị trấn Sông Mã và xã Nà Nghịu thành xã Sông Mã</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105,99</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105,99</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26.179</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523,58</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Huổi Một</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Huổi Một và xã Nậm Mằn thành xã Huổi Một</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240,66</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240,66</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12.349</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246,98</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71</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Chiềng Sơ</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Yên Hưng và xã Chiềng Sơ thành xã Chiềng Sơ</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140,31</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140,31</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17.145</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342,90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54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XII</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Sốp Cộp</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4</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1.472,24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56.528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69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Các xã</w:t>
            </w:r>
          </w:p>
        </w:tc>
        <w:tc>
          <w:tcPr>
            <w:tcW w:w="1234"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 </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4</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1.472,24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56.528</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337"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17" w:type="pct"/>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72</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Sốp Cộp</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Sốp Cộp, xã Mường Và và xã Nậm Lạnh thành xã Sốp Cộp</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466,95</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466,95</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24.086</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481,72</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73</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Púng Bánh</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Nhập xã Dồm Cang, xã Púng Bánh và xã Sam Kha thành xã Púng Bánh</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364,64</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364,64</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17.264</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345,28</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911AAD" w:rsidRPr="0039496B" w:rsidTr="00911AAD">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74</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Lạn</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đã đạt tiêu chí về diện tích tự nhiên và quy mô dân số</w:t>
            </w:r>
          </w:p>
        </w:tc>
        <w:tc>
          <w:tcPr>
            <w:tcW w:w="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264,89</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264,89</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10.901</w:t>
            </w:r>
          </w:p>
        </w:tc>
        <w:tc>
          <w:tcPr>
            <w:tcW w:w="3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218,02</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10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75</w:t>
            </w:r>
          </w:p>
        </w:tc>
        <w:tc>
          <w:tcPr>
            <w:tcW w:w="23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601"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Xã Mường Lèo</w:t>
            </w:r>
          </w:p>
        </w:tc>
        <w:tc>
          <w:tcPr>
            <w:tcW w:w="1234" w:type="pct"/>
            <w:gridSpan w:val="2"/>
            <w:tcBorders>
              <w:top w:val="nil"/>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rPr>
                <w:sz w:val="24"/>
                <w:szCs w:val="24"/>
              </w:rPr>
            </w:pPr>
            <w:r w:rsidRPr="0039496B">
              <w:rPr>
                <w:sz w:val="24"/>
                <w:szCs w:val="24"/>
              </w:rPr>
              <w:t>Giữ nguyên do là xã biên giới có vị trí biệt lập, vị trí trọng yếu</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375,76</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375,76</w:t>
            </w: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4.277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85,54</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x</w:t>
            </w: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911AAD" w:rsidRPr="0039496B" w:rsidTr="00911AAD">
        <w:trPr>
          <w:trHeight w:val="7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2069" w:type="pct"/>
            <w:gridSpan w:val="4"/>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Tổng</w:t>
            </w:r>
          </w:p>
        </w:tc>
        <w:tc>
          <w:tcPr>
            <w:tcW w:w="229"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125</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14.108,89</w:t>
            </w:r>
          </w:p>
        </w:tc>
        <w:tc>
          <w:tcPr>
            <w:tcW w:w="320"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443"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1.404.587</w:t>
            </w:r>
          </w:p>
        </w:tc>
        <w:tc>
          <w:tcPr>
            <w:tcW w:w="320"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337" w:type="pct"/>
            <w:gridSpan w:val="2"/>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317"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364" w:type="pct"/>
            <w:tcBorders>
              <w:top w:val="nil"/>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p>
        </w:tc>
      </w:tr>
      <w:tr w:rsidR="00911AAD" w:rsidRPr="0039496B" w:rsidTr="00911AAD">
        <w:trPr>
          <w:trHeight w:val="315"/>
        </w:trPr>
        <w:tc>
          <w:tcPr>
            <w:tcW w:w="188"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sz w:val="24"/>
                <w:szCs w:val="24"/>
              </w:rPr>
            </w:pPr>
          </w:p>
        </w:tc>
        <w:tc>
          <w:tcPr>
            <w:tcW w:w="234"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734" w:type="pct"/>
            <w:gridSpan w:val="2"/>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101"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29" w:type="pct"/>
            <w:gridSpan w:val="2"/>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413" w:type="pct"/>
            <w:gridSpan w:val="2"/>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320"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443"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320" w:type="pct"/>
            <w:gridSpan w:val="2"/>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337" w:type="pct"/>
            <w:gridSpan w:val="2"/>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rPr>
                <w:sz w:val="24"/>
                <w:szCs w:val="24"/>
              </w:rPr>
            </w:pPr>
          </w:p>
        </w:tc>
        <w:tc>
          <w:tcPr>
            <w:tcW w:w="317"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rPr>
                <w:sz w:val="24"/>
                <w:szCs w:val="24"/>
              </w:rPr>
            </w:pPr>
          </w:p>
        </w:tc>
        <w:tc>
          <w:tcPr>
            <w:tcW w:w="364" w:type="pct"/>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rPr>
                <w:sz w:val="24"/>
                <w:szCs w:val="24"/>
              </w:rPr>
            </w:pPr>
          </w:p>
        </w:tc>
      </w:tr>
      <w:tr w:rsidR="008A09EA" w:rsidRPr="0039496B" w:rsidTr="003D730E">
        <w:trPr>
          <w:trHeight w:val="540"/>
        </w:trPr>
        <w:tc>
          <w:tcPr>
            <w:tcW w:w="5000" w:type="pct"/>
            <w:gridSpan w:val="17"/>
            <w:tcBorders>
              <w:top w:val="nil"/>
              <w:left w:val="nil"/>
              <w:bottom w:val="nil"/>
              <w:right w:val="nil"/>
            </w:tcBorders>
            <w:shd w:val="clear" w:color="auto" w:fill="auto"/>
            <w:vAlign w:val="center"/>
            <w:hideMark/>
          </w:tcPr>
          <w:p w:rsidR="00431993" w:rsidRDefault="00431993" w:rsidP="003D730E">
            <w:pPr>
              <w:spacing w:before="120" w:line="276" w:lineRule="auto"/>
              <w:rPr>
                <w:b/>
                <w:bCs/>
                <w:i/>
                <w:iCs/>
                <w:sz w:val="24"/>
                <w:szCs w:val="24"/>
              </w:rPr>
            </w:pPr>
          </w:p>
          <w:p w:rsidR="00431993" w:rsidRDefault="00431993" w:rsidP="003D730E">
            <w:pPr>
              <w:spacing w:before="120" w:line="276" w:lineRule="auto"/>
              <w:rPr>
                <w:b/>
                <w:bCs/>
                <w:i/>
                <w:iCs/>
                <w:sz w:val="24"/>
                <w:szCs w:val="24"/>
              </w:rPr>
            </w:pPr>
          </w:p>
          <w:p w:rsidR="008A09EA" w:rsidRPr="0039496B" w:rsidRDefault="008A09EA" w:rsidP="003D730E">
            <w:pPr>
              <w:spacing w:before="120" w:line="276" w:lineRule="auto"/>
              <w:rPr>
                <w:b/>
                <w:bCs/>
                <w:i/>
                <w:iCs/>
                <w:sz w:val="24"/>
                <w:szCs w:val="24"/>
              </w:rPr>
            </w:pPr>
            <w:r w:rsidRPr="0039496B">
              <w:rPr>
                <w:b/>
                <w:bCs/>
                <w:i/>
                <w:iCs/>
                <w:sz w:val="24"/>
                <w:szCs w:val="24"/>
              </w:rPr>
              <w:t>Ghi chú:</w:t>
            </w:r>
          </w:p>
        </w:tc>
      </w:tr>
      <w:tr w:rsidR="008A09EA" w:rsidRPr="0039496B" w:rsidTr="003D730E">
        <w:trPr>
          <w:trHeight w:val="1125"/>
        </w:trPr>
        <w:tc>
          <w:tcPr>
            <w:tcW w:w="5000" w:type="pct"/>
            <w:gridSpan w:val="17"/>
            <w:tcBorders>
              <w:top w:val="nil"/>
              <w:left w:val="nil"/>
              <w:bottom w:val="nil"/>
              <w:right w:val="nil"/>
            </w:tcBorders>
            <w:shd w:val="clear" w:color="auto" w:fill="auto"/>
            <w:vAlign w:val="center"/>
            <w:hideMark/>
          </w:tcPr>
          <w:p w:rsidR="008A09EA" w:rsidRPr="0039496B" w:rsidRDefault="008A09EA" w:rsidP="003D730E">
            <w:pPr>
              <w:spacing w:before="120" w:line="276" w:lineRule="auto"/>
              <w:rPr>
                <w:i/>
                <w:iCs/>
                <w:sz w:val="24"/>
                <w:szCs w:val="24"/>
              </w:rPr>
            </w:pPr>
            <w:r w:rsidRPr="0039496B">
              <w:rPr>
                <w:i/>
                <w:iCs/>
                <w:sz w:val="24"/>
                <w:szCs w:val="24"/>
              </w:rPr>
              <w:t>Tỷ lệ % về diện tích tự nhiên và quy mô dân số của xã, phường hình thành sau sắp xếp được tính theo quy định của Nghị quyết số 76/2025/UBTVQH15 ngày 14/4/2025 của Ủy ban Thường vụ Quốc hội về sắp xếp đơn vị hành chính năm 2025 (xã miền núi, vùng cao: diện tích 100km</w:t>
            </w:r>
            <w:r w:rsidRPr="0039496B">
              <w:rPr>
                <w:i/>
                <w:iCs/>
                <w:sz w:val="24"/>
                <w:szCs w:val="24"/>
                <w:vertAlign w:val="superscript"/>
              </w:rPr>
              <w:t>2</w:t>
            </w:r>
            <w:r w:rsidRPr="0039496B">
              <w:rPr>
                <w:i/>
                <w:iCs/>
                <w:sz w:val="24"/>
                <w:szCs w:val="24"/>
              </w:rPr>
              <w:t>, quy mô dân số 5.000 người; phường miền núi, vùng cao: diện tích tự nhiên 5,5 km</w:t>
            </w:r>
            <w:r w:rsidRPr="0039496B">
              <w:rPr>
                <w:i/>
                <w:iCs/>
                <w:sz w:val="24"/>
                <w:szCs w:val="24"/>
                <w:vertAlign w:val="superscript"/>
              </w:rPr>
              <w:t>2</w:t>
            </w:r>
            <w:r w:rsidRPr="0039496B">
              <w:rPr>
                <w:i/>
                <w:iCs/>
                <w:sz w:val="24"/>
                <w:szCs w:val="24"/>
              </w:rPr>
              <w:t>, quy mô dân số 15.000 người)</w:t>
            </w:r>
          </w:p>
        </w:tc>
      </w:tr>
    </w:tbl>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sectPr w:rsidR="008A09EA" w:rsidRPr="0039496B" w:rsidSect="00911AAD">
      <w:headerReference w:type="default" r:id="rId9"/>
      <w:headerReference w:type="first" r:id="rId10"/>
      <w:pgSz w:w="16840" w:h="11907" w:orient="landscape" w:code="9"/>
      <w:pgMar w:top="680" w:right="737" w:bottom="567" w:left="96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BD" w:rsidRDefault="004D1BBD" w:rsidP="008A09EA">
      <w:r>
        <w:separator/>
      </w:r>
    </w:p>
  </w:endnote>
  <w:endnote w:type="continuationSeparator" w:id="0">
    <w:p w:rsidR="004D1BBD" w:rsidRDefault="004D1BBD"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BD" w:rsidRDefault="004D1BBD" w:rsidP="008A09EA">
      <w:r>
        <w:separator/>
      </w:r>
    </w:p>
  </w:footnote>
  <w:footnote w:type="continuationSeparator" w:id="0">
    <w:p w:rsidR="004D1BBD" w:rsidRDefault="004D1BBD"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8A09EA" w:rsidRDefault="008A09EA">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911AAD">
          <w:rPr>
            <w:noProof/>
            <w:sz w:val="24"/>
            <w:szCs w:val="24"/>
          </w:rPr>
          <w:t>4</w:t>
        </w:r>
        <w:r w:rsidRPr="008A09EA">
          <w:rPr>
            <w:noProof/>
            <w:sz w:val="24"/>
            <w:szCs w:val="24"/>
          </w:rPr>
          <w:fldChar w:fldCharType="end"/>
        </w:r>
      </w:p>
    </w:sdtContent>
  </w:sdt>
  <w:p w:rsidR="008A09EA" w:rsidRDefault="008A0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8A09EA" w:rsidRDefault="004D1BBD">
        <w:pPr>
          <w:pStyle w:val="Header"/>
          <w:jc w:val="center"/>
        </w:pPr>
      </w:p>
    </w:sdtContent>
  </w:sdt>
  <w:p w:rsidR="007D6BF9" w:rsidRDefault="004D1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1D7689"/>
    <w:rsid w:val="0036714D"/>
    <w:rsid w:val="00431993"/>
    <w:rsid w:val="004D1BBD"/>
    <w:rsid w:val="005F2954"/>
    <w:rsid w:val="006D2C3B"/>
    <w:rsid w:val="008A09EA"/>
    <w:rsid w:val="008F60EC"/>
    <w:rsid w:val="00911AAD"/>
    <w:rsid w:val="00A62C7F"/>
    <w:rsid w:val="00AA2B1A"/>
    <w:rsid w:val="00AB445E"/>
    <w:rsid w:val="00D24365"/>
    <w:rsid w:val="00F31A86"/>
    <w:rsid w:val="00FE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78C8-A2F2-4E49-A5EC-3D9214B2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2025-05-10T02:00:00Z</cp:lastPrinted>
  <dcterms:created xsi:type="dcterms:W3CDTF">2025-05-01T04:29:00Z</dcterms:created>
  <dcterms:modified xsi:type="dcterms:W3CDTF">2025-05-10T02:02:00Z</dcterms:modified>
</cp:coreProperties>
</file>